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53C54AF0" w:rsidR="00575C5A" w:rsidRDefault="00575C5A" w:rsidP="009F33F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B91084">
        <w:trPr>
          <w:trHeight w:val="268"/>
        </w:trPr>
        <w:tc>
          <w:tcPr>
            <w:tcW w:w="5000" w:type="pct"/>
            <w:shd w:val="clear" w:color="auto" w:fill="E2EFD9" w:themeFill="accent6" w:themeFillTint="33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75AE06A8" w14:textId="1A3CA7ED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</w:t>
      </w:r>
      <w:r w:rsidR="00B91084">
        <w:rPr>
          <w:rFonts w:ascii="Montserrat" w:hAnsi="Montserrat"/>
          <w:sz w:val="20"/>
          <w:szCs w:val="20"/>
          <w:lang w:val="es-ES"/>
        </w:rPr>
        <w:t xml:space="preserve"> </w:t>
      </w:r>
      <w:r w:rsidR="00896C26">
        <w:rPr>
          <w:rFonts w:ascii="Montserrat" w:hAnsi="Montserrat"/>
          <w:sz w:val="20"/>
          <w:szCs w:val="20"/>
          <w:lang w:val="es-ES"/>
        </w:rPr>
        <w:t xml:space="preserve">Subdirección General del Patrimonio Artístico Inmueble y el </w:t>
      </w:r>
      <w:r w:rsidR="008E2A2F">
        <w:rPr>
          <w:rFonts w:ascii="Montserrat" w:hAnsi="Montserrat"/>
          <w:sz w:val="20"/>
          <w:szCs w:val="20"/>
          <w:lang w:val="es-ES"/>
        </w:rPr>
        <w:t>Museo Nacional de San Carlos</w:t>
      </w:r>
      <w:r w:rsidR="00B91084">
        <w:rPr>
          <w:rFonts w:ascii="Montserrat" w:hAnsi="Montserrat"/>
          <w:sz w:val="20"/>
          <w:szCs w:val="20"/>
          <w:lang w:val="es-ES"/>
        </w:rPr>
        <w:t xml:space="preserve"> </w:t>
      </w:r>
      <w:r w:rsidRPr="00B91084">
        <w:rPr>
          <w:rFonts w:ascii="Montserrat" w:hAnsi="Montserrat"/>
          <w:sz w:val="20"/>
          <w:szCs w:val="20"/>
          <w:lang w:val="es-ES"/>
        </w:rPr>
        <w:t xml:space="preserve">del Instituto Nacional de Bellas Artes y Literatura, INBAL, con domicilio en </w:t>
      </w:r>
      <w:r w:rsidR="00896C26">
        <w:rPr>
          <w:rFonts w:ascii="Montserrat" w:hAnsi="Montserrat"/>
          <w:sz w:val="20"/>
          <w:szCs w:val="20"/>
          <w:lang w:val="es-ES"/>
        </w:rPr>
        <w:t xml:space="preserve">Calle </w:t>
      </w:r>
      <w:r w:rsidR="008E2A2F" w:rsidRPr="008E2A2F">
        <w:rPr>
          <w:rFonts w:ascii="Montserrat" w:hAnsi="Montserrat"/>
          <w:sz w:val="20"/>
          <w:szCs w:val="20"/>
          <w:lang w:val="es-ES"/>
        </w:rPr>
        <w:t>Puente de Alvarado No. 50, Colonia Tabacalera, C.P. 06030, Alcald</w:t>
      </w:r>
      <w:r w:rsidR="008E2A2F">
        <w:rPr>
          <w:rFonts w:ascii="Montserrat" w:hAnsi="Montserrat"/>
          <w:sz w:val="20"/>
          <w:szCs w:val="20"/>
          <w:lang w:val="es-ES"/>
        </w:rPr>
        <w:t>í</w:t>
      </w:r>
      <w:r w:rsidR="008E2A2F" w:rsidRPr="008E2A2F">
        <w:rPr>
          <w:rFonts w:ascii="Montserrat" w:hAnsi="Montserrat"/>
          <w:sz w:val="20"/>
          <w:szCs w:val="20"/>
          <w:lang w:val="es-ES"/>
        </w:rPr>
        <w:t>a Cuauht</w:t>
      </w:r>
      <w:r w:rsidR="008E2A2F">
        <w:rPr>
          <w:rFonts w:ascii="Montserrat" w:hAnsi="Montserrat"/>
          <w:sz w:val="20"/>
          <w:szCs w:val="20"/>
          <w:lang w:val="es-ES"/>
        </w:rPr>
        <w:t>é</w:t>
      </w:r>
      <w:r w:rsidR="008E2A2F" w:rsidRPr="008E2A2F">
        <w:rPr>
          <w:rFonts w:ascii="Montserrat" w:hAnsi="Montserrat"/>
          <w:sz w:val="20"/>
          <w:szCs w:val="20"/>
          <w:lang w:val="es-ES"/>
        </w:rPr>
        <w:t>moc, Ciudad de México</w:t>
      </w:r>
      <w:r w:rsidR="00896C26">
        <w:rPr>
          <w:rFonts w:ascii="Montserrat" w:hAnsi="Montserrat"/>
          <w:sz w:val="20"/>
          <w:szCs w:val="20"/>
          <w:lang w:val="es-ES"/>
        </w:rPr>
        <w:t xml:space="preserve">, </w:t>
      </w:r>
      <w:r w:rsidRPr="00B91084">
        <w:rPr>
          <w:rFonts w:ascii="Montserrat" w:hAnsi="Montserrat"/>
          <w:sz w:val="20"/>
          <w:szCs w:val="20"/>
          <w:lang w:val="es-ES"/>
        </w:rPr>
        <w:t xml:space="preserve"> es el responsable del tratamiento de los d</w:t>
      </w:r>
      <w:r w:rsidRPr="00464F2E">
        <w:rPr>
          <w:rFonts w:ascii="Montserrat" w:hAnsi="Montserrat"/>
          <w:sz w:val="20"/>
          <w:szCs w:val="20"/>
          <w:lang w:val="es-ES"/>
        </w:rPr>
        <w:t xml:space="preserve">atos personales que nos proporcione en este procedimiento, los cuales serán protegidos conforme a lo dispuesto por la Ley General de Protección de Datos Personales en Posesión de Sujetos Obligados </w:t>
      </w:r>
      <w:r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B91084" w14:paraId="0F0251B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E2EFD9" w:themeFill="accent6" w:themeFillTint="33"/>
            <w:vAlign w:val="center"/>
          </w:tcPr>
          <w:p w14:paraId="22877AF8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42854DB1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6705F88D" w14:textId="7748997D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Proce</w:t>
            </w:r>
            <w:r w:rsidR="001440B5"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dimiento</w:t>
            </w: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 contratación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114A59" w:rsidRPr="00D075EC" w14:paraId="0C982228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0C6EDDA6" w14:textId="4E7767D9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Alta de beneficiario en sistema de pagos SIAFF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1439E879" w14:textId="5160C8AA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</w:tbl>
    <w:p w14:paraId="36EDEB77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B91084" w14:paraId="66459C11" w14:textId="77777777" w:rsidTr="00B91084">
        <w:trPr>
          <w:trHeight w:val="268"/>
          <w:jc w:val="center"/>
        </w:trPr>
        <w:tc>
          <w:tcPr>
            <w:tcW w:w="3485" w:type="pct"/>
            <w:shd w:val="clear" w:color="auto" w:fill="E2EFD9" w:themeFill="accent6" w:themeFillTint="33"/>
          </w:tcPr>
          <w:p w14:paraId="05236B19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E2EFD9" w:themeFill="accent6" w:themeFillTint="33"/>
          </w:tcPr>
          <w:p w14:paraId="3AD05B26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Documento insumo</w:t>
            </w:r>
          </w:p>
        </w:tc>
      </w:tr>
      <w:tr w:rsidR="009F33F2" w:rsidRPr="00B91084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INE o IFE</w:t>
            </w:r>
          </w:p>
        </w:tc>
      </w:tr>
      <w:tr w:rsidR="009F33F2" w:rsidRPr="00B91084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RFC</w:t>
            </w:r>
          </w:p>
        </w:tc>
      </w:tr>
      <w:tr w:rsidR="009F33F2" w:rsidRPr="00B91084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CURP</w:t>
            </w:r>
          </w:p>
        </w:tc>
      </w:tr>
      <w:tr w:rsidR="009F33F2" w:rsidRPr="00B91084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Comprobante de domicilio</w:t>
            </w:r>
          </w:p>
        </w:tc>
      </w:tr>
      <w:tr w:rsidR="009F33F2" w:rsidRPr="00B91084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Formato de ingreso</w:t>
            </w:r>
          </w:p>
        </w:tc>
      </w:tr>
      <w:tr w:rsidR="009F33F2" w:rsidRPr="00B91084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114A59" w:rsidRPr="00B91084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Estado de cuenta bancario</w:t>
            </w:r>
          </w:p>
        </w:tc>
      </w:tr>
    </w:tbl>
    <w:p w14:paraId="6B8CAC5D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EBD6746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49519E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Ahora bien, tratándose de una solicitud de acceso a datos personales, deberá señalar la modalidad en la que prefiere que éstos se reproduzcan; con relación a una solicitud de cancelación, deberá </w:t>
      </w:r>
      <w:r w:rsidRPr="00464F2E">
        <w:rPr>
          <w:rFonts w:ascii="Montserrat" w:hAnsi="Montserrat"/>
          <w:sz w:val="20"/>
          <w:szCs w:val="20"/>
          <w:lang w:val="es-ES"/>
        </w:rPr>
        <w:lastRenderedPageBreak/>
        <w:t>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1D96DA7E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mayor información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EA27C1">
          <w:rPr>
            <w:rStyle w:val="Hipervnculo"/>
            <w:rFonts w:ascii="Montserrat" w:hAnsi="Montserrat"/>
            <w:b/>
            <w:bCs/>
            <w:sz w:val="20"/>
            <w:szCs w:val="20"/>
            <w:lang w:val="es-ES"/>
          </w:rPr>
          <w:t>www.inba.gob.mx</w:t>
        </w:r>
      </w:hyperlink>
    </w:p>
    <w:p w14:paraId="7E06DDAF" w14:textId="74E30162" w:rsidR="009F33F2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Y a través de </w:t>
      </w:r>
      <w:r w:rsidR="009F33F2">
        <w:rPr>
          <w:rFonts w:ascii="Montserrat" w:hAnsi="Montserrat"/>
          <w:sz w:val="20"/>
          <w:szCs w:val="20"/>
          <w:lang w:val="es-ES"/>
        </w:rPr>
        <w:t xml:space="preserve">la ventanilla de la </w:t>
      </w:r>
      <w:r w:rsidR="00896C26">
        <w:rPr>
          <w:rFonts w:ascii="Montserrat" w:hAnsi="Montserrat"/>
          <w:sz w:val="20"/>
          <w:szCs w:val="20"/>
          <w:lang w:val="es-ES"/>
        </w:rPr>
        <w:t>administración del Laboratorio Arte Alameda</w:t>
      </w:r>
    </w:p>
    <w:p w14:paraId="7C89B824" w14:textId="77777777" w:rsidR="009F33F2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DDEFE76" w14:textId="5A1F443D" w:rsidR="009F33F2" w:rsidRPr="00464F2E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4ED4D41A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hyperlink r:id="rId12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Pr="00464F2E">
        <w:rPr>
          <w:rFonts w:ascii="Montserrat" w:hAnsi="Montserrat"/>
          <w:b/>
          <w:sz w:val="20"/>
          <w:szCs w:val="20"/>
          <w:lang w:val="es-ES"/>
        </w:rPr>
        <w:t>5510.004.622</w:t>
      </w:r>
    </w:p>
    <w:p w14:paraId="1D5F421E" w14:textId="77777777" w:rsidR="009F33F2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>
        <w:rPr>
          <w:rFonts w:ascii="Montserrat" w:hAnsi="Montserrat"/>
          <w:b/>
          <w:sz w:val="20"/>
          <w:szCs w:val="20"/>
          <w:lang w:val="es-ES"/>
        </w:rPr>
        <w:t>Ext. 1913</w:t>
      </w:r>
    </w:p>
    <w:p w14:paraId="57A32F94" w14:textId="77777777" w:rsidR="00B91084" w:rsidRPr="00464F2E" w:rsidRDefault="00B91084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</w:p>
    <w:sectPr w:rsidR="00B91084" w:rsidRPr="00464F2E" w:rsidSect="00B91084">
      <w:headerReference w:type="default" r:id="rId13"/>
      <w:footerReference w:type="default" r:id="rId14"/>
      <w:pgSz w:w="12240" w:h="15840"/>
      <w:pgMar w:top="2127" w:right="1183" w:bottom="2552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1E6D" w14:textId="77777777" w:rsidR="0049519E" w:rsidRDefault="0049519E" w:rsidP="00BE2DFA">
      <w:r>
        <w:separator/>
      </w:r>
    </w:p>
  </w:endnote>
  <w:endnote w:type="continuationSeparator" w:id="0">
    <w:p w14:paraId="4447C216" w14:textId="77777777" w:rsidR="0049519E" w:rsidRDefault="0049519E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Avenida Juárez 101 Piso 20  Col.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C.P. 06040, Ciudad de México, Tel (55) 1000 5644 Ext. 1760  rrebollo@inba.gob.mx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Avenida Juárez 101 Piso 20  Col.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C.P. 06040, Ciudad de México, Tel (55) 1000 5644 Ext. 1760  rrebollo@inba.gob.mx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2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BF931" w14:textId="77777777" w:rsidR="0049519E" w:rsidRDefault="0049519E" w:rsidP="00BE2DFA">
      <w:r>
        <w:separator/>
      </w:r>
    </w:p>
  </w:footnote>
  <w:footnote w:type="continuationSeparator" w:id="0">
    <w:p w14:paraId="29B3B238" w14:textId="77777777" w:rsidR="0049519E" w:rsidRDefault="0049519E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C3661"/>
    <w:rsid w:val="000E2E12"/>
    <w:rsid w:val="000E5053"/>
    <w:rsid w:val="000F1956"/>
    <w:rsid w:val="00101F73"/>
    <w:rsid w:val="00114A59"/>
    <w:rsid w:val="00123CC5"/>
    <w:rsid w:val="00131DBC"/>
    <w:rsid w:val="001440B5"/>
    <w:rsid w:val="001760AC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91A4E"/>
    <w:rsid w:val="002A7998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45816"/>
    <w:rsid w:val="00352E66"/>
    <w:rsid w:val="00367E41"/>
    <w:rsid w:val="00382747"/>
    <w:rsid w:val="003A0837"/>
    <w:rsid w:val="003A2E35"/>
    <w:rsid w:val="003A3816"/>
    <w:rsid w:val="003B3011"/>
    <w:rsid w:val="003D7B76"/>
    <w:rsid w:val="003E2683"/>
    <w:rsid w:val="00416A02"/>
    <w:rsid w:val="00445893"/>
    <w:rsid w:val="00476778"/>
    <w:rsid w:val="00484BA4"/>
    <w:rsid w:val="0049519E"/>
    <w:rsid w:val="004A358C"/>
    <w:rsid w:val="004A5380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B31D4"/>
    <w:rsid w:val="005B50F2"/>
    <w:rsid w:val="005C08A5"/>
    <w:rsid w:val="005C35D7"/>
    <w:rsid w:val="005C4003"/>
    <w:rsid w:val="005D76DF"/>
    <w:rsid w:val="00617BA1"/>
    <w:rsid w:val="006469BE"/>
    <w:rsid w:val="0066057F"/>
    <w:rsid w:val="00684FE6"/>
    <w:rsid w:val="006A4873"/>
    <w:rsid w:val="006B081C"/>
    <w:rsid w:val="006F5732"/>
    <w:rsid w:val="007462A3"/>
    <w:rsid w:val="0076045F"/>
    <w:rsid w:val="00797342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32628"/>
    <w:rsid w:val="0085292C"/>
    <w:rsid w:val="0085711C"/>
    <w:rsid w:val="00865B68"/>
    <w:rsid w:val="00866265"/>
    <w:rsid w:val="00896C26"/>
    <w:rsid w:val="008E0813"/>
    <w:rsid w:val="008E2A2F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F5C1A"/>
    <w:rsid w:val="00B11024"/>
    <w:rsid w:val="00B45393"/>
    <w:rsid w:val="00B715EC"/>
    <w:rsid w:val="00B83EE6"/>
    <w:rsid w:val="00B91084"/>
    <w:rsid w:val="00B97B36"/>
    <w:rsid w:val="00BC21C3"/>
    <w:rsid w:val="00BE2DFA"/>
    <w:rsid w:val="00BF599A"/>
    <w:rsid w:val="00C21DB7"/>
    <w:rsid w:val="00C54E07"/>
    <w:rsid w:val="00C56563"/>
    <w:rsid w:val="00C74A65"/>
    <w:rsid w:val="00C90160"/>
    <w:rsid w:val="00CA2EEA"/>
    <w:rsid w:val="00CD1F32"/>
    <w:rsid w:val="00CD7F40"/>
    <w:rsid w:val="00CE0667"/>
    <w:rsid w:val="00D05004"/>
    <w:rsid w:val="00D06BCB"/>
    <w:rsid w:val="00D075EC"/>
    <w:rsid w:val="00D16620"/>
    <w:rsid w:val="00D20C0B"/>
    <w:rsid w:val="00DA47EF"/>
    <w:rsid w:val="00DB08C8"/>
    <w:rsid w:val="00DB3F62"/>
    <w:rsid w:val="00DB718C"/>
    <w:rsid w:val="00DC568D"/>
    <w:rsid w:val="00E01775"/>
    <w:rsid w:val="00E56234"/>
    <w:rsid w:val="00E8447A"/>
    <w:rsid w:val="00EA27C1"/>
    <w:rsid w:val="00EB5AA4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customStyle="1" w:styleId="Mencinsinresolver1">
    <w:name w:val="Mención sin resolver1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unidadenlace@inba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JOSE LUIS RICO VARGAS</cp:lastModifiedBy>
  <cp:revision>3</cp:revision>
  <cp:lastPrinted>2021-01-06T03:23:00Z</cp:lastPrinted>
  <dcterms:created xsi:type="dcterms:W3CDTF">2021-03-29T18:41:00Z</dcterms:created>
  <dcterms:modified xsi:type="dcterms:W3CDTF">2021-03-29T18:44:00Z</dcterms:modified>
</cp:coreProperties>
</file>